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82A3B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5E79C3" w:rsidP="00582A3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</w:t>
            </w:r>
            <w:r w:rsidR="00582A3B">
              <w:rPr>
                <w:rFonts w:ascii="Arial" w:hAnsi="Arial" w:cs="Arial"/>
                <w:sz w:val="28"/>
                <w:szCs w:val="28"/>
              </w:rPr>
              <w:t>ythagorova věta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4D1A06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D1A06">
              <w:rPr>
                <w:rFonts w:ascii="Arial" w:hAnsi="Arial" w:cs="Arial"/>
                <w:sz w:val="28"/>
                <w:szCs w:val="28"/>
              </w:rPr>
              <w:t>Obvod, obsah kruhu</w:t>
            </w:r>
          </w:p>
          <w:p w:rsidR="00657B72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Pythagorova věta</w:t>
            </w:r>
          </w:p>
          <w:p w:rsidR="004D1A06" w:rsidRDefault="004D1A06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Odvození na čtvercové síti</w:t>
            </w:r>
          </w:p>
          <w:p w:rsidR="004D1A06" w:rsidRDefault="004D1A06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Znění a matematické vyjádření Pythagorovy věty IT str. 20-23</w:t>
            </w:r>
          </w:p>
          <w:p w:rsidR="004D1A06" w:rsidRPr="004D1A06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Historická zajímavost IT str. 25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165C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3AD92-2654-43F6-9AF9-6AB4DA38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2012-01-06T11:38:00Z</dcterms:created>
  <dcterms:modified xsi:type="dcterms:W3CDTF">2012-01-06T11:42:00Z</dcterms:modified>
</cp:coreProperties>
</file>